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A45A0" w:rsidRDefault="007A45A0">
      <w:pPr>
        <w:rPr>
          <w:rFonts w:ascii="黑体" w:eastAsia="黑体" w:hAnsi="黑体" w:hint="eastAsia"/>
          <w:sz w:val="32"/>
          <w:szCs w:val="32"/>
        </w:rPr>
      </w:pPr>
    </w:p>
    <w:p w:rsidR="007A45A0" w:rsidRDefault="007A45A0">
      <w:pPr>
        <w:jc w:val="center"/>
        <w:rPr>
          <w:rFonts w:ascii="方正小标宋_GBK" w:eastAsia="方正小标宋_GBK" w:hAnsi="宋体" w:hint="eastAsia"/>
          <w:sz w:val="44"/>
          <w:szCs w:val="44"/>
        </w:rPr>
      </w:pPr>
    </w:p>
    <w:p w:rsidR="007A45A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木垒哈萨克自治县第一小学</w:t>
      </w:r>
    </w:p>
    <w:p w:rsidR="007A45A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7A45A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7A45A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7A45A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7A45A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7A45A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7A45A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7A45A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7A45A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7A45A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7A45A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7A45A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7A45A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7A45A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7A45A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7A45A0" w:rsidRDefault="00000000">
      <w:r>
        <w:rPr>
          <w:rFonts w:ascii="仿宋_GB2312" w:eastAsia="仿宋_GB2312" w:hAnsi="仿宋_GB2312" w:cs="仿宋_GB2312" w:hint="eastAsia"/>
          <w:sz w:val="32"/>
          <w:szCs w:val="32"/>
        </w:rPr>
        <w:fldChar w:fldCharType="end"/>
      </w:r>
    </w:p>
    <w:p w:rsidR="007A45A0" w:rsidRDefault="00000000">
      <w:pPr>
        <w:rPr>
          <w:rFonts w:ascii="仿宋_GB2312" w:eastAsia="仿宋_GB2312"/>
          <w:sz w:val="32"/>
          <w:szCs w:val="32"/>
        </w:rPr>
      </w:pPr>
      <w:r>
        <w:rPr>
          <w:rFonts w:ascii="仿宋_GB2312" w:eastAsia="仿宋_GB2312" w:hint="eastAsia"/>
          <w:sz w:val="32"/>
          <w:szCs w:val="32"/>
        </w:rPr>
        <w:br w:type="page"/>
      </w:r>
    </w:p>
    <w:p w:rsidR="007A45A0"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rsidR="007A45A0"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昌吉州木垒哈萨克自治县第一小学是一所全额拨款的事业单位，实施小学学历教育，按照基础教育的有关规定和教学大纲，积极开展各项教学活动；强化德育工作，培养教育学生的技能、技巧和综合能力，加强学校的内部管理工作；加强办学理念，内强素质，外树形象，加强教师整体素质，学生综合素养，学校文化建设；全面提升教育教学质量，全力推进学校工作全面、均衡、协调、持续的发展。</w:t>
      </w:r>
    </w:p>
    <w:p w:rsidR="007A45A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木垒哈萨克自治县第一小学2023年度，实有人数</w:t>
      </w:r>
      <w:r>
        <w:rPr>
          <w:rFonts w:ascii="仿宋_GB2312" w:eastAsia="仿宋_GB2312" w:hint="eastAsia"/>
          <w:sz w:val="32"/>
          <w:szCs w:val="32"/>
          <w:lang w:val="zh-CN"/>
        </w:rPr>
        <w:t>278</w:t>
      </w:r>
      <w:r>
        <w:rPr>
          <w:rFonts w:ascii="仿宋_GB2312" w:eastAsia="仿宋_GB2312" w:hint="eastAsia"/>
          <w:sz w:val="32"/>
          <w:szCs w:val="32"/>
        </w:rPr>
        <w:t>人，其中：在职人员</w:t>
      </w:r>
      <w:r>
        <w:rPr>
          <w:rFonts w:ascii="仿宋_GB2312" w:eastAsia="仿宋_GB2312" w:hint="eastAsia"/>
          <w:sz w:val="32"/>
          <w:szCs w:val="32"/>
          <w:lang w:val="zh-CN"/>
        </w:rPr>
        <w:t>101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177</w:t>
      </w:r>
      <w:r>
        <w:rPr>
          <w:rFonts w:ascii="仿宋_GB2312" w:eastAsia="仿宋_GB2312" w:hint="eastAsia"/>
          <w:sz w:val="32"/>
          <w:szCs w:val="32"/>
        </w:rPr>
        <w:t>人。</w:t>
      </w:r>
    </w:p>
    <w:p w:rsidR="007A45A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单位无下属预算单位，下设4个科室，分别是：教务处、总务处、财务室、德育处。</w:t>
      </w:r>
    </w:p>
    <w:p w:rsidR="007A45A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rsidR="007A45A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2023年度收入总计2,536.75万元，其中：本年收入合计2,536.15万元，使用非财政拨款结余0.00万元，年初结转和结余0.60万元。</w:t>
      </w:r>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2023年度支出总计2,536.75万元，其中：本年支出合计2,536.41万元，结余分配0.00万元，年末结转和结余0.35</w:t>
      </w:r>
      <w:r>
        <w:rPr>
          <w:rFonts w:ascii="仿宋_GB2312" w:eastAsia="仿宋_GB2312" w:hint="eastAsia"/>
          <w:sz w:val="32"/>
          <w:szCs w:val="32"/>
        </w:rPr>
        <w:lastRenderedPageBreak/>
        <w:t>万元。</w:t>
      </w:r>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增加147.51万元</w:t>
      </w:r>
      <w:r>
        <w:rPr>
          <w:rFonts w:ascii="仿宋_GB2312" w:eastAsia="仿宋_GB2312" w:hint="eastAsia"/>
          <w:sz w:val="32"/>
          <w:szCs w:val="32"/>
        </w:rPr>
        <w:t>，增长6.17%，主要原因是：单位本年学前三年保障机制经费增加。</w:t>
      </w:r>
    </w:p>
    <w:p w:rsidR="007A45A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2,536.15万元，其中：财政拨款收入2,535.38万元，占99.97%；上级补助收入0.00万元，占0.00%；事业收入0.00万元，占0.00%；经营收入0.00万元，占0.00%；附属单位上缴收入0.00万元，占0.00%；其他收入0.77万元，占0.03%。</w:t>
      </w:r>
    </w:p>
    <w:p w:rsidR="007A45A0"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本年支出2,536.41万元，其中：基本支出2,352.40万元，占92.75%；项目支出184.01万元，占7.25%；上缴上级支出0.00万元，占0.00%；经营支出0.00万元，占0.00%；对附属单位补助支出0.00万元，占0.00%。</w:t>
      </w:r>
    </w:p>
    <w:p w:rsidR="007A45A0"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2,535.38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2,535.38</w:t>
      </w:r>
      <w:r>
        <w:rPr>
          <w:rFonts w:ascii="仿宋_GB2312" w:eastAsia="仿宋_GB2312" w:hint="eastAsia"/>
          <w:sz w:val="32"/>
          <w:szCs w:val="32"/>
        </w:rPr>
        <w:t>万元。财政拨款支出总计</w:t>
      </w:r>
      <w:r>
        <w:rPr>
          <w:rFonts w:ascii="仿宋_GB2312" w:eastAsia="仿宋_GB2312" w:hint="eastAsia"/>
          <w:sz w:val="32"/>
          <w:szCs w:val="32"/>
          <w:lang w:val="zh-CN"/>
        </w:rPr>
        <w:t>2,535.38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2,535.38</w:t>
      </w:r>
      <w:r>
        <w:rPr>
          <w:rFonts w:ascii="仿宋_GB2312" w:eastAsia="仿宋_GB2312" w:hint="eastAsia"/>
          <w:sz w:val="32"/>
          <w:szCs w:val="32"/>
        </w:rPr>
        <w:t>万元。</w:t>
      </w:r>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增加187.39万元</w:t>
      </w:r>
      <w:r>
        <w:rPr>
          <w:rFonts w:ascii="仿宋_GB2312" w:eastAsia="仿宋_GB2312" w:hint="eastAsia"/>
          <w:sz w:val="32"/>
          <w:szCs w:val="32"/>
        </w:rPr>
        <w:t>，增长7.98%,主要原因是：单位本年学前三年保障机制经费增</w:t>
      </w:r>
      <w:r>
        <w:rPr>
          <w:rFonts w:ascii="仿宋_GB2312" w:eastAsia="仿宋_GB2312" w:hint="eastAsia"/>
          <w:sz w:val="32"/>
          <w:szCs w:val="32"/>
        </w:rPr>
        <w:lastRenderedPageBreak/>
        <w:t>加。与年初预算相比，年初预算数</w:t>
      </w:r>
      <w:r>
        <w:rPr>
          <w:rFonts w:ascii="仿宋_GB2312" w:eastAsia="仿宋_GB2312" w:hint="eastAsia"/>
          <w:sz w:val="32"/>
          <w:szCs w:val="32"/>
          <w:lang w:val="zh-CN"/>
        </w:rPr>
        <w:t>2,330.58</w:t>
      </w:r>
      <w:r>
        <w:rPr>
          <w:rFonts w:ascii="仿宋_GB2312" w:eastAsia="仿宋_GB2312" w:hint="eastAsia"/>
          <w:sz w:val="32"/>
          <w:szCs w:val="32"/>
        </w:rPr>
        <w:t>万元，决算数</w:t>
      </w:r>
      <w:r>
        <w:rPr>
          <w:rFonts w:ascii="仿宋_GB2312" w:eastAsia="仿宋_GB2312" w:hint="eastAsia"/>
          <w:sz w:val="32"/>
          <w:szCs w:val="32"/>
          <w:lang w:val="zh-CN"/>
        </w:rPr>
        <w:t>2,535.38</w:t>
      </w:r>
      <w:r>
        <w:rPr>
          <w:rFonts w:ascii="仿宋_GB2312" w:eastAsia="仿宋_GB2312" w:hint="eastAsia"/>
          <w:sz w:val="32"/>
          <w:szCs w:val="32"/>
        </w:rPr>
        <w:t>万元，预决算差异率8.79%，主要原因是：单位本年在职人员工资、津贴补贴、奖金等增加。</w:t>
      </w:r>
    </w:p>
    <w:p w:rsidR="007A45A0"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7A45A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7A45A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2023年度一般公共预算财政拨款支出2,535.38万元，占本年支出合计的</w:t>
      </w:r>
      <w:r>
        <w:rPr>
          <w:rFonts w:ascii="仿宋_GB2312" w:eastAsia="仿宋_GB2312" w:hint="eastAsia"/>
          <w:sz w:val="32"/>
          <w:szCs w:val="32"/>
          <w:lang w:val="zh-CN"/>
        </w:rPr>
        <w:t>99.96%</w:t>
      </w:r>
      <w:r>
        <w:rPr>
          <w:rFonts w:ascii="仿宋_GB2312" w:eastAsia="仿宋_GB2312" w:hint="eastAsia"/>
          <w:sz w:val="32"/>
          <w:szCs w:val="32"/>
        </w:rPr>
        <w:t>。与上年相比，</w:t>
      </w:r>
      <w:r>
        <w:rPr>
          <w:rFonts w:ascii="仿宋_GB2312" w:eastAsia="仿宋_GB2312" w:hint="eastAsia"/>
          <w:sz w:val="32"/>
          <w:szCs w:val="32"/>
          <w:lang w:val="zh-CN"/>
        </w:rPr>
        <w:t>增加187.39万元</w:t>
      </w:r>
      <w:r>
        <w:rPr>
          <w:rFonts w:ascii="仿宋_GB2312" w:eastAsia="仿宋_GB2312" w:hint="eastAsia"/>
          <w:sz w:val="32"/>
          <w:szCs w:val="32"/>
        </w:rPr>
        <w:t>，增长7.98%,主要原因是：单位本年学前三年保障机制经费增加。与年初预算相比，年初预算数</w:t>
      </w:r>
      <w:r>
        <w:rPr>
          <w:rFonts w:ascii="仿宋_GB2312" w:eastAsia="仿宋_GB2312" w:hint="eastAsia"/>
          <w:sz w:val="32"/>
          <w:szCs w:val="32"/>
          <w:lang w:val="zh-CN"/>
        </w:rPr>
        <w:t>2,330.58</w:t>
      </w:r>
      <w:r>
        <w:rPr>
          <w:rFonts w:ascii="仿宋_GB2312" w:eastAsia="仿宋_GB2312" w:hint="eastAsia"/>
          <w:sz w:val="32"/>
          <w:szCs w:val="32"/>
        </w:rPr>
        <w:t>万元，决算数</w:t>
      </w:r>
      <w:r>
        <w:rPr>
          <w:rFonts w:ascii="仿宋_GB2312" w:eastAsia="仿宋_GB2312" w:hint="eastAsia"/>
          <w:sz w:val="32"/>
          <w:szCs w:val="32"/>
          <w:lang w:val="zh-CN"/>
        </w:rPr>
        <w:t>2,535.38</w:t>
      </w:r>
      <w:r>
        <w:rPr>
          <w:rFonts w:ascii="仿宋_GB2312" w:eastAsia="仿宋_GB2312" w:hint="eastAsia"/>
          <w:sz w:val="32"/>
          <w:szCs w:val="32"/>
        </w:rPr>
        <w:t>万元，预决算差异率</w:t>
      </w:r>
      <w:r>
        <w:rPr>
          <w:rFonts w:ascii="仿宋_GB2312" w:eastAsia="仿宋_GB2312" w:hint="eastAsia"/>
          <w:sz w:val="32"/>
          <w:szCs w:val="32"/>
          <w:lang w:val="zh-CN"/>
        </w:rPr>
        <w:t>8.79%</w:t>
      </w:r>
      <w:r>
        <w:rPr>
          <w:rFonts w:ascii="仿宋_GB2312" w:eastAsia="仿宋_GB2312" w:hint="eastAsia"/>
          <w:sz w:val="32"/>
          <w:szCs w:val="32"/>
        </w:rPr>
        <w:t>，主要原因是：单位本年在职人员工资、津贴补贴、奖金等增加。</w:t>
      </w:r>
    </w:p>
    <w:p w:rsidR="007A45A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7A45A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2,333.40</w:t>
      </w:r>
      <w:r>
        <w:rPr>
          <w:rFonts w:ascii="仿宋_GB2312" w:eastAsia="仿宋_GB2312"/>
          <w:kern w:val="2"/>
          <w:sz w:val="32"/>
          <w:szCs w:val="32"/>
          <w:lang w:val="zh-CN"/>
        </w:rPr>
        <w:t>万元，占</w:t>
      </w:r>
      <w:r>
        <w:rPr>
          <w:rFonts w:ascii="仿宋_GB2312" w:eastAsia="仿宋_GB2312" w:hint="eastAsia"/>
          <w:kern w:val="2"/>
          <w:sz w:val="32"/>
          <w:szCs w:val="32"/>
          <w:lang w:val="zh-CN"/>
        </w:rPr>
        <w:t>92.03</w:t>
      </w:r>
      <w:r>
        <w:rPr>
          <w:rFonts w:ascii="仿宋_GB2312" w:eastAsia="仿宋_GB2312"/>
          <w:kern w:val="2"/>
          <w:sz w:val="32"/>
          <w:szCs w:val="32"/>
          <w:lang w:val="zh-CN"/>
        </w:rPr>
        <w:t>%；</w:t>
      </w:r>
    </w:p>
    <w:p w:rsidR="007A45A0" w:rsidRDefault="00000000">
      <w:pPr>
        <w:pStyle w:val="a6"/>
        <w:widowControl/>
        <w:spacing w:before="0" w:beforeAutospacing="0" w:after="0" w:afterAutospacing="0"/>
        <w:ind w:firstLineChars="200" w:firstLine="640"/>
        <w:rPr>
          <w:rFonts w:ascii="仿宋_GB2312" w:eastAsia="仿宋_GB2312" w:hint="eastAsia"/>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201.98</w:t>
      </w:r>
      <w:r>
        <w:rPr>
          <w:rFonts w:ascii="仿宋_GB2312" w:eastAsia="仿宋_GB2312"/>
          <w:kern w:val="2"/>
          <w:sz w:val="32"/>
          <w:szCs w:val="32"/>
          <w:lang w:val="zh-CN"/>
        </w:rPr>
        <w:t>万元，占</w:t>
      </w:r>
      <w:r>
        <w:rPr>
          <w:rFonts w:ascii="仿宋_GB2312" w:eastAsia="仿宋_GB2312" w:hint="eastAsia"/>
          <w:kern w:val="2"/>
          <w:sz w:val="32"/>
          <w:szCs w:val="32"/>
          <w:lang w:val="zh-CN"/>
        </w:rPr>
        <w:t>7.97</w:t>
      </w:r>
      <w:r>
        <w:rPr>
          <w:rFonts w:ascii="仿宋_GB2312" w:eastAsia="仿宋_GB2312"/>
          <w:kern w:val="2"/>
          <w:sz w:val="32"/>
          <w:szCs w:val="32"/>
          <w:lang w:val="zh-CN"/>
        </w:rPr>
        <w:t>%</w:t>
      </w:r>
      <w:r w:rsidR="008968E7">
        <w:rPr>
          <w:rFonts w:ascii="仿宋_GB2312" w:eastAsia="仿宋_GB2312" w:hint="eastAsia"/>
          <w:kern w:val="2"/>
          <w:sz w:val="32"/>
          <w:szCs w:val="32"/>
          <w:lang w:val="zh-CN"/>
        </w:rPr>
        <w:t>。</w:t>
      </w:r>
    </w:p>
    <w:p w:rsidR="007A45A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1.社会保障和就业支出（类）抚恤（款）死亡抚恤（项）:支出决算数为83.48万元，比上年决算增加72.17万元，增长638.29%，主要原因是：单位本年</w:t>
      </w:r>
      <w:r>
        <w:rPr>
          <w:rFonts w:ascii="仿宋_GB2312" w:eastAsia="仿宋_GB2312" w:hint="eastAsia"/>
          <w:sz w:val="32"/>
          <w:szCs w:val="32"/>
          <w:lang w:val="zh-CN"/>
        </w:rPr>
        <w:t>退休教师去世人数增加。</w:t>
      </w:r>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2.教育支出（类）普通教育（款）小学教育（项）:支出决算数为2,063.24万元，比上年决算减少73.54万元，下降3.44%，主要原因是：单位本年</w:t>
      </w:r>
      <w:r>
        <w:rPr>
          <w:rFonts w:ascii="仿宋_GB2312" w:eastAsia="仿宋_GB2312" w:hint="eastAsia"/>
          <w:sz w:val="32"/>
          <w:szCs w:val="32"/>
          <w:lang w:val="zh-CN"/>
        </w:rPr>
        <w:t>城乡义务教育补助经费</w:t>
      </w:r>
      <w:r>
        <w:rPr>
          <w:rFonts w:ascii="仿宋_GB2312" w:eastAsia="仿宋_GB2312" w:hint="eastAsia"/>
          <w:sz w:val="32"/>
          <w:szCs w:val="32"/>
        </w:rPr>
        <w:t>减少</w:t>
      </w:r>
      <w:r>
        <w:rPr>
          <w:rFonts w:ascii="仿宋_GB2312" w:eastAsia="仿宋_GB2312" w:hint="eastAsia"/>
          <w:sz w:val="32"/>
          <w:szCs w:val="32"/>
          <w:lang w:val="zh-CN"/>
        </w:rPr>
        <w:t>。</w:t>
      </w:r>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3.社会保障和就业支出（类）行政事业单位养老支出（款）事业单位离退休（项）:支出决算数为58.93万元，比上年决算增加36.13万元，增长158.43%，主要原因是：单位本年退休人员增加</w:t>
      </w:r>
      <w:r>
        <w:rPr>
          <w:rFonts w:ascii="仿宋_GB2312" w:eastAsia="仿宋_GB2312" w:hint="eastAsia"/>
          <w:sz w:val="32"/>
          <w:szCs w:val="32"/>
          <w:lang w:val="zh-CN"/>
        </w:rPr>
        <w:t>。</w:t>
      </w:r>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4.教育支出（类）普通教育（款）学前教育（项）:支出决算数为270.16万元，比上年决算增加106.04万元，增长64.61%，主要原因是：</w:t>
      </w:r>
      <w:r>
        <w:rPr>
          <w:rFonts w:ascii="仿宋_GB2312" w:eastAsia="仿宋_GB2312" w:hint="eastAsia"/>
          <w:sz w:val="32"/>
          <w:szCs w:val="32"/>
          <w:lang w:val="zh-CN"/>
        </w:rPr>
        <w:t>本年单位学前教师</w:t>
      </w:r>
      <w:r>
        <w:rPr>
          <w:rFonts w:ascii="仿宋_GB2312" w:eastAsia="仿宋_GB2312" w:hint="eastAsia"/>
          <w:sz w:val="32"/>
          <w:szCs w:val="32"/>
        </w:rPr>
        <w:t>工资</w:t>
      </w:r>
      <w:r>
        <w:rPr>
          <w:rFonts w:ascii="仿宋_GB2312" w:eastAsia="仿宋_GB2312" w:hint="eastAsia"/>
          <w:sz w:val="32"/>
          <w:szCs w:val="32"/>
          <w:lang w:val="zh-CN"/>
        </w:rPr>
        <w:t>、津贴补贴、奖金、社保缴费</w:t>
      </w:r>
      <w:r>
        <w:rPr>
          <w:rFonts w:ascii="仿宋_GB2312" w:eastAsia="仿宋_GB2312" w:hint="eastAsia"/>
          <w:sz w:val="32"/>
          <w:szCs w:val="32"/>
        </w:rPr>
        <w:t>等经费</w:t>
      </w:r>
      <w:r>
        <w:rPr>
          <w:rFonts w:ascii="仿宋_GB2312" w:eastAsia="仿宋_GB2312" w:hint="eastAsia"/>
          <w:sz w:val="32"/>
          <w:szCs w:val="32"/>
          <w:lang w:val="zh-CN"/>
        </w:rPr>
        <w:t>增加。</w:t>
      </w:r>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社会保障和就业支出（类）行政事业单位养老支出（款）机关事业单位职业年金缴费支出（项）:支出决算数为59.58万元，比上年决算增加46.59万元，增长358.89%，主要原因是：单位本年退休人数增加，职业年金费用增加。</w:t>
      </w:r>
    </w:p>
    <w:p w:rsidR="007A45A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2,351.74万元，其中：人员经费2,333.44万元，包括：基本工资、津贴补贴、奖金、机关事业单位基本养老保险缴费、职业年金缴费、职工基本医疗保险缴费、其他社会保障缴费、住房公积金、退休费、抚恤金、生活补助、助学金、奖励金、其他对个人和家庭的补助。</w:t>
      </w:r>
    </w:p>
    <w:p w:rsidR="007A45A0"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公用经费18.30万元，包括：取暖费、公务用车运行维护费。</w:t>
      </w:r>
    </w:p>
    <w:p w:rsidR="007A45A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“三公”经费支出0.30万元，</w:t>
      </w:r>
      <w:r>
        <w:rPr>
          <w:rFonts w:ascii="仿宋_GB2312" w:eastAsia="仿宋_GB2312" w:hint="eastAsia"/>
          <w:sz w:val="32"/>
          <w:szCs w:val="32"/>
        </w:rPr>
        <w:t>比上年</w:t>
      </w:r>
      <w:r>
        <w:rPr>
          <w:rFonts w:ascii="仿宋_GB2312" w:eastAsia="仿宋_GB2312" w:hint="eastAsia"/>
          <w:sz w:val="32"/>
          <w:szCs w:val="32"/>
          <w:lang w:val="zh-CN"/>
        </w:rPr>
        <w:t>减少0.08万元，</w:t>
      </w:r>
      <w:r>
        <w:rPr>
          <w:rFonts w:ascii="仿宋_GB2312" w:eastAsia="仿宋_GB2312" w:hint="eastAsia"/>
          <w:sz w:val="32"/>
          <w:szCs w:val="32"/>
        </w:rPr>
        <w:t>下降20.09%,</w:t>
      </w:r>
      <w:r>
        <w:rPr>
          <w:rFonts w:ascii="仿宋_GB2312" w:eastAsia="仿宋_GB2312" w:hint="eastAsia"/>
          <w:sz w:val="32"/>
          <w:szCs w:val="32"/>
          <w:lang w:val="zh-CN"/>
        </w:rPr>
        <w:t>主要原因是：部分车辆维修费、燃油费等未及时支付。其中：因公出国（境）费支出0.00万元，占0.00%，比上年增加0.00万元，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主要原因是：单位本年无此项支出；公务用车购置及运行维护费支出0.30万元，占100.00%，比上年减少0.08万元，</w:t>
      </w:r>
      <w:r>
        <w:rPr>
          <w:rFonts w:ascii="仿宋_GB2312" w:eastAsia="仿宋_GB2312" w:hint="eastAsia"/>
          <w:sz w:val="32"/>
          <w:szCs w:val="32"/>
        </w:rPr>
        <w:t>下降20.09%,</w:t>
      </w:r>
      <w:r>
        <w:rPr>
          <w:rFonts w:ascii="仿宋_GB2312" w:eastAsia="仿宋_GB2312" w:hint="eastAsia"/>
          <w:sz w:val="32"/>
          <w:szCs w:val="32"/>
          <w:lang w:val="zh-CN"/>
        </w:rPr>
        <w:t>主要原因是：部分车辆维修费、燃油费等未及时支付；公务接待费支出0.00万元，占0.00%，比上年增加0.00万元，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w:t>
      </w:r>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。单位全年安排的因公出国（境）团组0个，因公出国（境）0人次。</w:t>
      </w:r>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公务用车购置及运行维护费0.30万元，其中：公务用车购置费0.00万元，公务用车运行维护费0.30万元。公务用车运行维护费开支内容包括</w:t>
      </w:r>
      <w:r>
        <w:rPr>
          <w:rFonts w:ascii="仿宋_GB2312" w:eastAsia="仿宋_GB2312" w:hint="eastAsia"/>
          <w:sz w:val="32"/>
          <w:szCs w:val="32"/>
        </w:rPr>
        <w:t>对比无差异</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w:t>
      </w:r>
      <w:r>
        <w:rPr>
          <w:rFonts w:ascii="仿宋_GB2312" w:eastAsia="仿宋_GB2312" w:hint="eastAsia"/>
          <w:sz w:val="32"/>
          <w:szCs w:val="32"/>
          <w:lang w:val="zh-CN"/>
        </w:rPr>
        <w:t>对比无差异。</w:t>
      </w:r>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公务接待费0.00万元，开支内容包括单位本年无此项支出。单位全年安排的国内公务接待0批次，0人次。</w:t>
      </w:r>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w:t>
      </w:r>
      <w:r>
        <w:rPr>
          <w:rFonts w:ascii="仿宋_GB2312" w:eastAsia="仿宋_GB2312" w:hint="eastAsia"/>
          <w:sz w:val="32"/>
          <w:szCs w:val="32"/>
          <w:lang w:val="zh-CN"/>
        </w:rPr>
        <w:lastRenderedPageBreak/>
        <w:t>要原因是：单位本年无此项支出。其中：因公出国（境）费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Pr>
          <w:rFonts w:ascii="仿宋_GB2312" w:eastAsia="仿宋_GB2312" w:hint="eastAsia"/>
          <w:sz w:val="32"/>
          <w:szCs w:val="32"/>
        </w:rPr>
        <w:t>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7A45A0"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7A45A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7A45A0"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7A45A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7A45A0"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木垒哈萨克自治县第一小学（事业单位）公用经费支出18.30万元，</w:t>
      </w:r>
      <w:r>
        <w:rPr>
          <w:rFonts w:ascii="仿宋_GB2312" w:eastAsia="仿宋_GB2312" w:hint="eastAsia"/>
          <w:sz w:val="32"/>
          <w:szCs w:val="32"/>
          <w:lang w:val="zh-CN"/>
        </w:rPr>
        <w:t>比上年增加13.44万元，增长276.36%，主要原因是：</w:t>
      </w:r>
      <w:r>
        <w:rPr>
          <w:rFonts w:ascii="仿宋_GB2312" w:eastAsia="仿宋_GB2312" w:hint="eastAsia"/>
          <w:sz w:val="32"/>
          <w:szCs w:val="32"/>
        </w:rPr>
        <w:t>单位本年办公取暖费较上年增加。</w:t>
      </w:r>
    </w:p>
    <w:p w:rsidR="007A45A0"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2023年度政府采购支出总额112.31万元，其中：政府采购货物支出53.12万元、政府采购工程支出52.28万元、政府采购服务支出6.90万元。</w:t>
      </w:r>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授予中小企业合同金额112.31万元，占政府采购支出总额的100.00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，其中：授予小微企业合同金额112.31万元，占政府采购支出总额的100.00</w:t>
      </w:r>
      <w:r>
        <w:rPr>
          <w:rFonts w:ascii="仿宋_GB2312" w:eastAsia="仿宋_GB2312"/>
          <w:sz w:val="32"/>
          <w:szCs w:val="32"/>
          <w:lang w:val="zh-CN"/>
        </w:rPr>
        <w:t>%</w:t>
      </w:r>
      <w:r>
        <w:rPr>
          <w:rFonts w:ascii="仿宋_GB2312" w:eastAsia="仿宋_GB2312" w:hint="eastAsia"/>
          <w:sz w:val="32"/>
          <w:szCs w:val="32"/>
        </w:rPr>
        <w:t>。</w:t>
      </w:r>
    </w:p>
    <w:p w:rsidR="007A45A0"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7A45A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3,635.32</w:t>
      </w:r>
      <w:r>
        <w:rPr>
          <w:rFonts w:ascii="仿宋_GB2312" w:eastAsia="仿宋_GB2312" w:hint="eastAsia"/>
          <w:sz w:val="32"/>
          <w:szCs w:val="32"/>
        </w:rPr>
        <w:t>万元，房</w:t>
      </w:r>
      <w:r>
        <w:rPr>
          <w:rFonts w:ascii="仿宋_GB2312" w:eastAsia="仿宋_GB2312" w:hint="eastAsia"/>
          <w:sz w:val="32"/>
          <w:szCs w:val="32"/>
          <w:lang w:val="zh-CN"/>
        </w:rPr>
        <w:t>屋14</w:t>
      </w:r>
      <w:r>
        <w:rPr>
          <w:rFonts w:ascii="仿宋_GB2312" w:eastAsia="仿宋_GB2312" w:hint="eastAsia"/>
          <w:sz w:val="32"/>
          <w:szCs w:val="32"/>
        </w:rPr>
        <w:t>,</w:t>
      </w:r>
      <w:r>
        <w:rPr>
          <w:rFonts w:ascii="仿宋_GB2312" w:eastAsia="仿宋_GB2312" w:hint="eastAsia"/>
          <w:sz w:val="32"/>
          <w:szCs w:val="32"/>
          <w:lang w:val="zh-CN"/>
        </w:rPr>
        <w:t>497.03平方米，价值2,745.64万元。车辆1辆，价值8.66万元，其中：副部（省）级及以上领导用车0辆、主要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Pr>
          <w:rFonts w:ascii="仿宋_GB2312" w:eastAsia="仿宋_GB2312" w:hint="eastAsia"/>
          <w:sz w:val="32"/>
          <w:szCs w:val="32"/>
        </w:rPr>
        <w:t>单位业务用车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7A45A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7A45A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预算总额2,536.75万元，实际执行总额</w:t>
      </w:r>
      <w:r w:rsidR="008968E7" w:rsidRPr="008968E7">
        <w:rPr>
          <w:rFonts w:ascii="仿宋_GB2312" w:eastAsia="仿宋_GB2312"/>
          <w:sz w:val="32"/>
          <w:szCs w:val="32"/>
        </w:rPr>
        <w:t>2,536.41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w:t>
      </w:r>
      <w:r>
        <w:rPr>
          <w:rFonts w:ascii="仿宋_GB2312" w:eastAsia="仿宋_GB2312" w:hint="eastAsia"/>
          <w:sz w:val="32"/>
          <w:szCs w:val="32"/>
        </w:rPr>
        <w:lastRenderedPageBreak/>
        <w:t>环境质量,提升群众人居环境。发现的问题及原因：一</w:t>
      </w:r>
      <w:r>
        <w:rPr>
          <w:rFonts w:ascii="仿宋_GB2312" w:eastAsia="仿宋_GB2312" w:hint="eastAsia"/>
          <w:sz w:val="30"/>
          <w:szCs w:val="30"/>
        </w:rPr>
        <w:t>是部门职能不明确，个别工作分工不清晰，且人员培训和绩效考核制度不够完善，考核方案部分内容和人员名单更新滞后；二是部门整体绩效指标应从单位全局高度出发，围绕部门单位履职的核心任务，分析提炼</w:t>
      </w:r>
      <w:r>
        <w:rPr>
          <w:rFonts w:ascii="仿宋_GB2312" w:eastAsia="仿宋_GB2312" w:hint="eastAsia"/>
          <w:sz w:val="32"/>
          <w:szCs w:val="32"/>
        </w:rPr>
        <w:t>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89" w:type="pct"/>
        <w:jc w:val="center"/>
        <w:tblLayout w:type="fixed"/>
        <w:tblLook w:val="04A0" w:firstRow="1" w:lastRow="0" w:firstColumn="1" w:lastColumn="0" w:noHBand="0" w:noVBand="1"/>
      </w:tblPr>
      <w:tblGrid>
        <w:gridCol w:w="1812"/>
        <w:gridCol w:w="1197"/>
        <w:gridCol w:w="1119"/>
        <w:gridCol w:w="1022"/>
        <w:gridCol w:w="1017"/>
        <w:gridCol w:w="790"/>
        <w:gridCol w:w="857"/>
        <w:gridCol w:w="860"/>
      </w:tblGrid>
      <w:tr w:rsidR="007A45A0">
        <w:trPr>
          <w:trHeight w:val="522"/>
          <w:jc w:val="center"/>
        </w:trPr>
        <w:tc>
          <w:tcPr>
            <w:tcW w:w="8675"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7A45A0">
        <w:trPr>
          <w:trHeight w:val="360"/>
          <w:jc w:val="center"/>
        </w:trPr>
        <w:tc>
          <w:tcPr>
            <w:tcW w:w="8675"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7A45A0">
        <w:trPr>
          <w:trHeight w:val="66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862"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w:t>
            </w:r>
          </w:p>
        </w:tc>
      </w:tr>
      <w:tr w:rsidR="007A45A0">
        <w:trPr>
          <w:trHeight w:val="57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7A45A0">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93.83</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106.89</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106.89</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A45A0">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8.80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8.80</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A45A0">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22" w:type="dxa"/>
            <w:tcBorders>
              <w:top w:val="single" w:sz="4" w:space="0" w:color="000000"/>
              <w:left w:val="single" w:sz="4" w:space="0" w:color="000000"/>
              <w:bottom w:val="single" w:sz="4" w:space="0" w:color="auto"/>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7" w:type="dxa"/>
            <w:tcBorders>
              <w:top w:val="single" w:sz="4" w:space="0" w:color="000000"/>
              <w:left w:val="single" w:sz="4" w:space="0" w:color="000000"/>
              <w:bottom w:val="single" w:sz="4" w:space="0" w:color="auto"/>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A45A0">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19" w:type="dxa"/>
            <w:tcBorders>
              <w:top w:val="single" w:sz="4" w:space="0" w:color="000000"/>
              <w:left w:val="single" w:sz="4" w:space="0" w:color="000000"/>
              <w:bottom w:val="single" w:sz="4" w:space="0" w:color="000000"/>
              <w:right w:val="single" w:sz="4" w:space="0" w:color="auto"/>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2,236.75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2,421.06</w:t>
            </w: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2420.72</w:t>
            </w:r>
          </w:p>
        </w:tc>
        <w:tc>
          <w:tcPr>
            <w:tcW w:w="790" w:type="dxa"/>
            <w:tcBorders>
              <w:top w:val="single" w:sz="4" w:space="0" w:color="000000"/>
              <w:left w:val="single" w:sz="4" w:space="0" w:color="auto"/>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r>
      <w:tr w:rsidR="007A45A0">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22" w:type="dxa"/>
            <w:tcBorders>
              <w:top w:val="single" w:sz="4" w:space="0" w:color="auto"/>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7" w:type="dxa"/>
            <w:tcBorders>
              <w:top w:val="single" w:sz="4" w:space="0" w:color="auto"/>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r>
      <w:tr w:rsidR="007A45A0">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2,330.58</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2,536.75</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2,536.41</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A45A0">
        <w:trPr>
          <w:trHeight w:val="705"/>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33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52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7A45A0">
        <w:trPr>
          <w:trHeight w:val="200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33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w:t>
            </w:r>
          </w:p>
        </w:tc>
        <w:tc>
          <w:tcPr>
            <w:tcW w:w="35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本单位已完成每周查阅学校教学常规检查资料，开展教研活动，每学期主题式校本研修活动不少于四次，效果好；每年资助学生不少于2次，已完成，效果好；每学期开展教学质量分析会不少于1次，全年2次，已完成；每学期综合检查不少于2次，有记录、有反馈、有改进措施；按计划组织开展法治教育活动，每学期不少于一次，法治教育工作机构健全、制度完善，学习各类法律法规资料齐全，活动资料完善。</w:t>
            </w:r>
          </w:p>
        </w:tc>
      </w:tr>
      <w:tr w:rsidR="007A45A0">
        <w:trPr>
          <w:trHeight w:val="58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7A45A0">
        <w:trPr>
          <w:trHeight w:val="74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&gt;=106人</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106人</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7A45A0">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≥13776平方米</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13776平方米</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7A45A0">
        <w:trPr>
          <w:trHeight w:val="74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&gt;=112人</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112人</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7A45A0">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教学质量分析会</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7A45A0">
        <w:trPr>
          <w:trHeight w:val="74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各类教师培训及学习次数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A45A0">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开展学校常规检查次数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w:t>
            </w:r>
          </w:p>
        </w:tc>
      </w:tr>
      <w:tr w:rsidR="007A45A0">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适龄儿童义务教育入学率</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&gt;=99%</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99%</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A45A0">
        <w:trPr>
          <w:trHeight w:val="74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r>
      <w:tr w:rsidR="007A45A0">
        <w:trPr>
          <w:trHeight w:val="74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r>
      <w:tr w:rsidR="007A45A0">
        <w:trPr>
          <w:trHeight w:val="74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7A45A0">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45A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bl>
    <w:p w:rsidR="007A45A0" w:rsidRDefault="007A45A0">
      <w:pPr>
        <w:ind w:firstLineChars="200" w:firstLine="640"/>
        <w:jc w:val="left"/>
        <w:rPr>
          <w:rFonts w:ascii="黑体" w:eastAsia="黑体" w:hAnsi="黑体" w:cs="宋体" w:hint="eastAsia"/>
          <w:bCs/>
          <w:kern w:val="0"/>
          <w:sz w:val="32"/>
          <w:szCs w:val="32"/>
        </w:rPr>
      </w:pPr>
    </w:p>
    <w:p w:rsidR="007A45A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7A45A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rsidR="007A45A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7A45A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7A45A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7A45A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7A45A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7A45A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7A45A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7A45A0"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rsidR="007A45A0"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7A45A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7A45A0"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7A45A0"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7A45A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rsidR="007A45A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7A45A0"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rsidR="007A45A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7A45A0" w:rsidRDefault="007A45A0">
      <w:pPr>
        <w:ind w:firstLineChars="200" w:firstLine="640"/>
        <w:rPr>
          <w:rFonts w:ascii="仿宋_GB2312" w:eastAsia="仿宋_GB2312"/>
          <w:sz w:val="32"/>
          <w:szCs w:val="32"/>
        </w:rPr>
      </w:pPr>
    </w:p>
    <w:p w:rsidR="007A45A0" w:rsidRDefault="007A45A0">
      <w:pPr>
        <w:ind w:firstLineChars="200" w:firstLine="640"/>
        <w:outlineLvl w:val="1"/>
        <w:rPr>
          <w:rFonts w:ascii="黑体" w:eastAsia="黑体" w:hAnsi="黑体" w:cs="宋体" w:hint="eastAsia"/>
          <w:bCs/>
          <w:kern w:val="0"/>
          <w:sz w:val="32"/>
          <w:szCs w:val="32"/>
        </w:rPr>
      </w:pPr>
    </w:p>
    <w:sectPr w:rsidR="007A45A0">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6558C" w:rsidRDefault="0056558C">
      <w:r>
        <w:separator/>
      </w:r>
    </w:p>
  </w:endnote>
  <w:endnote w:type="continuationSeparator" w:id="0">
    <w:p w:rsidR="0056558C" w:rsidRDefault="0056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A45A0"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A45A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7A45A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6558C" w:rsidRDefault="0056558C">
      <w:r>
        <w:separator/>
      </w:r>
    </w:p>
  </w:footnote>
  <w:footnote w:type="continuationSeparator" w:id="0">
    <w:p w:rsidR="0056558C" w:rsidRDefault="00565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14274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7A45A0"/>
    <w:rsid w:val="00213C59"/>
    <w:rsid w:val="003210CE"/>
    <w:rsid w:val="0056558C"/>
    <w:rsid w:val="007A45A0"/>
    <w:rsid w:val="008968E7"/>
    <w:rsid w:val="00B70D59"/>
    <w:rsid w:val="00F52A8D"/>
    <w:rsid w:val="00F85164"/>
    <w:rsid w:val="019404F8"/>
    <w:rsid w:val="01F321C7"/>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C91CB3"/>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035266"/>
    <w:rsid w:val="618E3791"/>
    <w:rsid w:val="61947DCA"/>
    <w:rsid w:val="61A46A97"/>
    <w:rsid w:val="61D1382F"/>
    <w:rsid w:val="61F114A2"/>
    <w:rsid w:val="62512BB4"/>
    <w:rsid w:val="625D7D1A"/>
    <w:rsid w:val="62DD7D21"/>
    <w:rsid w:val="637D586B"/>
    <w:rsid w:val="63A5560B"/>
    <w:rsid w:val="63E9091F"/>
    <w:rsid w:val="642A69B3"/>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A4F48"/>
  <w15:docId w15:val="{F16DDFFF-309E-49E2-B98C-40E21260F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2</cp:revision>
  <dcterms:created xsi:type="dcterms:W3CDTF">2014-10-29T12:08:00Z</dcterms:created>
  <dcterms:modified xsi:type="dcterms:W3CDTF">2024-08-19T07:02:00Z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